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E042A8" w:rsidRPr="00D052CB" w:rsidP="009F2B10" w14:paraId="1657495A" w14:textId="44F3252D">
      <w:pPr>
        <w:rPr>
          <w:rFonts w:ascii="Times New Roman" w:hAnsi="Times New Roman" w:cs="Times New Roman"/>
          <w:szCs w:val="20"/>
        </w:rPr>
      </w:pPr>
      <w:r w:rsidRPr="00D052CB">
        <w:rPr>
          <w:rFonts w:ascii="Times New Roman" w:hAnsi="Times New Roman" w:cs="Times New Roman"/>
          <w:szCs w:val="20"/>
        </w:rPr>
        <w:t xml:space="preserve"> </w:t>
      </w:r>
    </w:p>
    <w:p w:rsidR="00A17C1C" w:rsidRPr="00D052CB" w:rsidP="009F2B10" w14:paraId="1A79F135" w14:textId="77777777">
      <w:pPr>
        <w:rPr>
          <w:rFonts w:ascii="Times New Roman" w:hAnsi="Times New Roman" w:cs="Times New Roman"/>
          <w:szCs w:val="20"/>
        </w:rPr>
      </w:pPr>
    </w:p>
    <w:p w:rsidR="00A17C1C" w:rsidRPr="00D052CB" w:rsidP="009F2B10" w14:paraId="2523DCA5" w14:textId="77777777">
      <w:pPr>
        <w:rPr>
          <w:rFonts w:ascii="Times New Roman" w:hAnsi="Times New Roman" w:cs="Times New Roman"/>
          <w:szCs w:val="20"/>
        </w:rPr>
      </w:pPr>
    </w:p>
    <w:p w:rsidR="005C570B" w:rsidRPr="00D052CB" w:rsidP="005C570B" w14:paraId="43B01DD3" w14:textId="0AC5BF45">
      <w:pPr>
        <w:ind w:left="-720" w:firstLine="720"/>
        <w:jc w:val="both"/>
        <w:rPr>
          <w:rFonts w:ascii="Times New Roman" w:eastAsia="Calibri" w:hAnsi="Times New Roman" w:cs="Times New Roman"/>
          <w:szCs w:val="20"/>
        </w:rPr>
      </w:pPr>
      <w:r w:rsidRPr="00D052CB">
        <w:rPr>
          <w:rFonts w:ascii="Times New Roman" w:eastAsia="Calibri" w:hAnsi="Times New Roman" w:cs="Times New Roman"/>
          <w:szCs w:val="20"/>
        </w:rPr>
        <w:t>May 1</w:t>
      </w:r>
      <w:r w:rsidRPr="00D052CB" w:rsidR="00585A62">
        <w:rPr>
          <w:rFonts w:ascii="Times New Roman" w:eastAsia="Calibri" w:hAnsi="Times New Roman" w:cs="Times New Roman"/>
          <w:szCs w:val="20"/>
        </w:rPr>
        <w:t>2</w:t>
      </w:r>
      <w:r w:rsidRPr="00D052CB">
        <w:rPr>
          <w:rFonts w:ascii="Times New Roman" w:eastAsia="Calibri" w:hAnsi="Times New Roman" w:cs="Times New Roman"/>
          <w:szCs w:val="20"/>
        </w:rPr>
        <w:t>, 2025</w:t>
      </w:r>
    </w:p>
    <w:p w:rsidR="005C570B" w:rsidRPr="00D052CB" w:rsidP="005C570B" w14:paraId="567511E6" w14:textId="77777777">
      <w:pPr>
        <w:jc w:val="both"/>
        <w:rPr>
          <w:rFonts w:ascii="Times New Roman" w:eastAsia="Calibri" w:hAnsi="Times New Roman" w:cs="Times New Roman"/>
          <w:szCs w:val="20"/>
        </w:rPr>
      </w:pPr>
    </w:p>
    <w:p w:rsidR="005C570B" w:rsidRPr="00D052CB" w:rsidP="005C570B" w14:paraId="643C941F" w14:textId="77777777">
      <w:pPr>
        <w:jc w:val="both"/>
        <w:rPr>
          <w:rFonts w:ascii="Times New Roman" w:eastAsia="Calibri" w:hAnsi="Times New Roman" w:cs="Times New Roman"/>
          <w:szCs w:val="20"/>
        </w:rPr>
      </w:pPr>
    </w:p>
    <w:p w:rsidR="005C570B" w:rsidRPr="00D052CB" w:rsidP="005C570B" w14:paraId="030B54DD" w14:textId="77777777">
      <w:pPr>
        <w:jc w:val="both"/>
        <w:rPr>
          <w:rFonts w:ascii="Times New Roman" w:eastAsia="Calibri" w:hAnsi="Times New Roman" w:cs="Times New Roman"/>
          <w:szCs w:val="20"/>
        </w:rPr>
      </w:pPr>
      <w:r w:rsidRPr="00D052CB">
        <w:rPr>
          <w:rFonts w:ascii="Times New Roman" w:eastAsia="Calibri" w:hAnsi="Times New Roman" w:cs="Times New Roman"/>
          <w:szCs w:val="20"/>
        </w:rPr>
        <w:t>The Honorable Russell T. Vought</w:t>
      </w:r>
    </w:p>
    <w:p w:rsidR="005C570B" w:rsidRPr="00D052CB" w:rsidP="005C570B" w14:paraId="64C34F77" w14:textId="77777777">
      <w:pPr>
        <w:jc w:val="both"/>
        <w:rPr>
          <w:rFonts w:ascii="Times New Roman" w:eastAsia="Calibri" w:hAnsi="Times New Roman" w:cs="Times New Roman"/>
          <w:szCs w:val="20"/>
        </w:rPr>
      </w:pPr>
      <w:r w:rsidRPr="00D052CB">
        <w:rPr>
          <w:rFonts w:ascii="Times New Roman" w:eastAsia="Calibri" w:hAnsi="Times New Roman" w:cs="Times New Roman"/>
          <w:szCs w:val="20"/>
        </w:rPr>
        <w:t>Director</w:t>
      </w:r>
    </w:p>
    <w:p w:rsidR="005C570B" w:rsidRPr="00D052CB" w:rsidP="005C570B" w14:paraId="33CC7661" w14:textId="77777777">
      <w:pPr>
        <w:jc w:val="both"/>
        <w:rPr>
          <w:rFonts w:ascii="Times New Roman" w:eastAsia="Calibri" w:hAnsi="Times New Roman" w:cs="Times New Roman"/>
          <w:szCs w:val="20"/>
        </w:rPr>
      </w:pPr>
      <w:r w:rsidRPr="00D052CB">
        <w:rPr>
          <w:rFonts w:ascii="Times New Roman" w:eastAsia="Calibri" w:hAnsi="Times New Roman" w:cs="Times New Roman"/>
          <w:szCs w:val="20"/>
        </w:rPr>
        <w:t>Office of Management and Budget</w:t>
      </w:r>
    </w:p>
    <w:p w:rsidR="005C570B" w:rsidRPr="00D052CB" w:rsidP="005C570B" w14:paraId="45E6322B" w14:textId="77777777">
      <w:pPr>
        <w:jc w:val="both"/>
        <w:rPr>
          <w:rFonts w:ascii="Times New Roman" w:eastAsia="Calibri" w:hAnsi="Times New Roman" w:cs="Times New Roman"/>
          <w:szCs w:val="20"/>
        </w:rPr>
      </w:pPr>
      <w:r w:rsidRPr="00D052CB">
        <w:rPr>
          <w:rFonts w:ascii="Times New Roman" w:eastAsia="Calibri" w:hAnsi="Times New Roman" w:cs="Times New Roman"/>
          <w:szCs w:val="20"/>
        </w:rPr>
        <w:t>1650 17th Street NW</w:t>
      </w:r>
    </w:p>
    <w:p w:rsidR="005C570B" w:rsidRPr="00D052CB" w:rsidP="005C570B" w14:paraId="2B1F67AD" w14:textId="77777777">
      <w:pPr>
        <w:jc w:val="both"/>
        <w:rPr>
          <w:rFonts w:ascii="Times New Roman" w:eastAsia="Calibri" w:hAnsi="Times New Roman" w:cs="Times New Roman"/>
          <w:szCs w:val="20"/>
        </w:rPr>
      </w:pPr>
      <w:r w:rsidRPr="00D052CB">
        <w:rPr>
          <w:rFonts w:ascii="Times New Roman" w:eastAsia="Calibri" w:hAnsi="Times New Roman" w:cs="Times New Roman"/>
          <w:szCs w:val="20"/>
        </w:rPr>
        <w:t>Washington, DC 20006</w:t>
      </w:r>
    </w:p>
    <w:p w:rsidR="005C570B" w:rsidRPr="00D052CB" w:rsidP="005C570B" w14:paraId="6ED91955" w14:textId="77777777">
      <w:pPr>
        <w:jc w:val="both"/>
        <w:rPr>
          <w:rFonts w:ascii="Times New Roman" w:eastAsia="Calibri" w:hAnsi="Times New Roman" w:cs="Times New Roman"/>
          <w:szCs w:val="20"/>
        </w:rPr>
      </w:pPr>
    </w:p>
    <w:p w:rsidR="005C570B" w:rsidRPr="00D052CB" w:rsidP="005C570B" w14:paraId="19ADC8A5" w14:textId="77777777">
      <w:pPr>
        <w:jc w:val="both"/>
        <w:rPr>
          <w:rFonts w:ascii="Times New Roman" w:eastAsia="Calibri" w:hAnsi="Times New Roman" w:cs="Times New Roman"/>
          <w:i/>
          <w:szCs w:val="20"/>
        </w:rPr>
      </w:pPr>
      <w:r w:rsidRPr="00D052CB">
        <w:rPr>
          <w:rFonts w:ascii="Times New Roman" w:eastAsia="Calibri" w:hAnsi="Times New Roman" w:cs="Times New Roman"/>
          <w:i/>
          <w:szCs w:val="20"/>
        </w:rPr>
        <w:t xml:space="preserve">Submitted electronically via Regulations.gov   </w:t>
      </w:r>
    </w:p>
    <w:p w:rsidR="005C570B" w:rsidRPr="00D052CB" w:rsidP="005C570B" w14:paraId="3AF711AC" w14:textId="77777777">
      <w:pPr>
        <w:jc w:val="both"/>
        <w:rPr>
          <w:rFonts w:ascii="Times New Roman" w:eastAsia="Calibri" w:hAnsi="Times New Roman" w:cs="Times New Roman"/>
          <w:szCs w:val="20"/>
        </w:rPr>
      </w:pPr>
      <w:r w:rsidRPr="00D052CB">
        <w:rPr>
          <w:rFonts w:ascii="Times New Roman" w:eastAsia="Calibri" w:hAnsi="Times New Roman" w:cs="Times New Roman"/>
          <w:szCs w:val="20"/>
        </w:rPr>
        <w:t xml:space="preserve"> </w:t>
      </w:r>
    </w:p>
    <w:p w:rsidR="005C570B" w:rsidRPr="00D052CB" w:rsidP="005C570B" w14:paraId="336DC203" w14:textId="77777777">
      <w:pPr>
        <w:jc w:val="both"/>
        <w:rPr>
          <w:rFonts w:ascii="Times New Roman" w:eastAsia="Calibri" w:hAnsi="Times New Roman" w:cs="Times New Roman"/>
          <w:b/>
          <w:szCs w:val="20"/>
        </w:rPr>
      </w:pPr>
      <w:r w:rsidRPr="00D052CB">
        <w:rPr>
          <w:rFonts w:ascii="Times New Roman" w:eastAsia="Calibri" w:hAnsi="Times New Roman" w:cs="Times New Roman"/>
          <w:b/>
          <w:szCs w:val="20"/>
        </w:rPr>
        <w:t>RE: Request for Information on Reforming Federal Agency Regulations</w:t>
      </w:r>
    </w:p>
    <w:p w:rsidR="005C570B" w:rsidRPr="00D052CB" w:rsidP="005C570B" w14:paraId="14B8AE5B" w14:textId="77777777">
      <w:pPr>
        <w:jc w:val="both"/>
        <w:rPr>
          <w:rFonts w:ascii="Times New Roman" w:eastAsia="Calibri" w:hAnsi="Times New Roman" w:cs="Times New Roman"/>
          <w:szCs w:val="20"/>
        </w:rPr>
      </w:pPr>
    </w:p>
    <w:p w:rsidR="005C570B" w:rsidRPr="00D052CB" w:rsidP="005C570B" w14:paraId="0C05948E" w14:textId="77777777">
      <w:pPr>
        <w:jc w:val="both"/>
        <w:rPr>
          <w:rFonts w:ascii="Times New Roman" w:eastAsia="Calibri" w:hAnsi="Times New Roman" w:cs="Times New Roman"/>
          <w:szCs w:val="20"/>
        </w:rPr>
      </w:pPr>
      <w:r w:rsidRPr="00D052CB">
        <w:rPr>
          <w:rFonts w:ascii="Times New Roman" w:eastAsia="Calibri" w:hAnsi="Times New Roman" w:cs="Times New Roman"/>
          <w:szCs w:val="20"/>
        </w:rPr>
        <w:t>Dear Director Vought,</w:t>
      </w:r>
    </w:p>
    <w:p w:rsidR="003762FD" w:rsidRPr="00D052CB" w:rsidP="003762FD" w14:paraId="7191793B" w14:textId="77777777">
      <w:pPr>
        <w:rPr>
          <w:rFonts w:ascii="Times New Roman" w:hAnsi="Times New Roman" w:cs="Times New Roman"/>
          <w:szCs w:val="20"/>
        </w:rPr>
      </w:pPr>
    </w:p>
    <w:p w:rsidR="00EA62EA" w:rsidRPr="00D052CB" w:rsidP="00EA62EA" w14:paraId="433B05F3" w14:textId="3C5B5D50">
      <w:pPr>
        <w:rPr>
          <w:rFonts w:ascii="Times New Roman" w:hAnsi="Times New Roman" w:cs="Times New Roman"/>
          <w:szCs w:val="20"/>
        </w:rPr>
      </w:pPr>
      <w:r w:rsidRPr="00D052CB">
        <w:rPr>
          <w:rFonts w:ascii="Times New Roman" w:hAnsi="Times New Roman" w:cs="Times New Roman"/>
          <w:szCs w:val="20"/>
        </w:rPr>
        <w:t xml:space="preserve">On behalf of the National Organization of Rheumatology Management (NORM), thank you for the opportunity to provide </w:t>
      </w:r>
      <w:r w:rsidRPr="00D052CB" w:rsidR="005C570B">
        <w:rPr>
          <w:rFonts w:ascii="Times New Roman" w:hAnsi="Times New Roman" w:cs="Times New Roman"/>
          <w:szCs w:val="20"/>
        </w:rPr>
        <w:t xml:space="preserve">feedback on your request for information (RFI) regarding regulatory policies that </w:t>
      </w:r>
      <w:r w:rsidRPr="00D052CB" w:rsidR="00712495">
        <w:rPr>
          <w:rFonts w:ascii="Times New Roman" w:hAnsi="Times New Roman" w:cs="Times New Roman"/>
          <w:szCs w:val="20"/>
        </w:rPr>
        <w:t>that contribute to unnecessary administrative burden, increased practice costs, and consolidation within the healthcare system.</w:t>
      </w:r>
      <w:r w:rsidRPr="00D052CB">
        <w:rPr>
          <w:rFonts w:ascii="Times New Roman" w:hAnsi="Times New Roman" w:cs="Times New Roman"/>
          <w:szCs w:val="20"/>
        </w:rPr>
        <w:t xml:space="preserve"> </w:t>
      </w:r>
      <w:r w:rsidRPr="00D052CB" w:rsidR="00712495">
        <w:rPr>
          <w:rFonts w:ascii="Times New Roman" w:hAnsi="Times New Roman" w:cs="Times New Roman"/>
          <w:szCs w:val="20"/>
        </w:rPr>
        <w:t>NORM members</w:t>
      </w:r>
      <w:r w:rsidRPr="00D052CB">
        <w:rPr>
          <w:rFonts w:ascii="Times New Roman" w:hAnsi="Times New Roman" w:cs="Times New Roman"/>
          <w:szCs w:val="20"/>
        </w:rPr>
        <w:t xml:space="preserve"> manage the day-to-day operations </w:t>
      </w:r>
      <w:r w:rsidRPr="00D052CB" w:rsidR="00712495">
        <w:rPr>
          <w:rFonts w:ascii="Times New Roman" w:hAnsi="Times New Roman" w:cs="Times New Roman"/>
          <w:szCs w:val="20"/>
        </w:rPr>
        <w:t xml:space="preserve">of rheumatology practices and have firsthand experience navigating regulatory obstacles that undermine patient care and the financial sustainability of rheumatology practices. </w:t>
      </w:r>
    </w:p>
    <w:p w:rsidR="00EA62EA" w:rsidRPr="00D052CB" w:rsidP="00EA62EA" w14:paraId="4A6006F4" w14:textId="77777777">
      <w:pPr>
        <w:rPr>
          <w:rFonts w:ascii="Times New Roman" w:hAnsi="Times New Roman" w:cs="Times New Roman"/>
          <w:szCs w:val="20"/>
        </w:rPr>
      </w:pPr>
    </w:p>
    <w:p w:rsidR="005C570B" w:rsidRPr="00D052CB" w:rsidP="005C570B" w14:paraId="188CF960" w14:textId="47204A0B">
      <w:pPr>
        <w:pStyle w:val="Heading4"/>
        <w:rPr>
          <w:szCs w:val="20"/>
        </w:rPr>
      </w:pPr>
      <w:r w:rsidRPr="00D052CB">
        <w:rPr>
          <w:szCs w:val="20"/>
        </w:rPr>
        <w:t>Prior Authorization and Step Therapy</w:t>
      </w:r>
    </w:p>
    <w:p w:rsidR="00712495" w:rsidRPr="00D052CB" w:rsidP="00712495" w14:paraId="21714318" w14:textId="77777777">
      <w:pPr>
        <w:jc w:val="both"/>
        <w:rPr>
          <w:rFonts w:ascii="Times New Roman" w:hAnsi="Times New Roman"/>
          <w:szCs w:val="20"/>
        </w:rPr>
      </w:pPr>
      <w:r w:rsidRPr="00D052CB">
        <w:rPr>
          <w:rFonts w:ascii="Times New Roman" w:hAnsi="Times New Roman"/>
          <w:szCs w:val="20"/>
        </w:rPr>
        <w:t>In 2018, CMS issued subregulatory guidance permitting Medicare Advantage (MA) plans to apply prior authorization and step therapy protocols to Medicare Part B drugs. In rheumatology, these utilization controls frequently delay or deny timely access to essential treatments for patients with progressive, debilitating conditions such as rheumatoid arthritis, psoriatic arthritis, and systemic lupus erythematosus. Step therapy protocols often require patients to fail a preferred medication—even when it is medically inappropriate or unaffordable—before gaining access to the therapy their physician initially prescribed.</w:t>
      </w:r>
    </w:p>
    <w:p w:rsidR="00712495" w:rsidRPr="00D052CB" w:rsidP="00712495" w14:paraId="1127B149" w14:textId="77777777">
      <w:pPr>
        <w:jc w:val="both"/>
        <w:rPr>
          <w:rFonts w:ascii="Times New Roman" w:hAnsi="Times New Roman"/>
          <w:szCs w:val="20"/>
        </w:rPr>
      </w:pPr>
    </w:p>
    <w:p w:rsidR="00712495" w:rsidRPr="00D052CB" w:rsidP="00712495" w14:paraId="3AC8EE86" w14:textId="2272D266">
      <w:pPr>
        <w:jc w:val="both"/>
        <w:rPr>
          <w:rFonts w:ascii="Times New Roman" w:hAnsi="Times New Roman"/>
          <w:szCs w:val="20"/>
        </w:rPr>
      </w:pPr>
      <w:r w:rsidRPr="00D052CB">
        <w:rPr>
          <w:rFonts w:ascii="Times New Roman" w:hAnsi="Times New Roman"/>
          <w:szCs w:val="20"/>
        </w:rPr>
        <w:t>These policies are particularly burdensome for rheumatology practices, which must dedicate significant resources to prior authorization and appeals processes that vary widely across MA plans. For small practices, this administrative overhead diverts limited staff time from patient care, drives up practice costs, and exacerbates consolidation pressures by making independent practice financially unsustainable.</w:t>
      </w:r>
    </w:p>
    <w:p w:rsidR="00712495" w:rsidRPr="00D052CB" w:rsidP="00712495" w14:paraId="49735C93" w14:textId="77777777">
      <w:pPr>
        <w:jc w:val="both"/>
        <w:rPr>
          <w:rFonts w:ascii="Times New Roman" w:hAnsi="Times New Roman"/>
          <w:szCs w:val="20"/>
        </w:rPr>
      </w:pPr>
    </w:p>
    <w:p w:rsidR="005C570B" w:rsidRPr="00D052CB" w:rsidP="00712495" w14:paraId="6266D5D5" w14:textId="69B361B2">
      <w:pPr>
        <w:jc w:val="both"/>
        <w:rPr>
          <w:rFonts w:ascii="Times New Roman" w:hAnsi="Times New Roman"/>
          <w:b/>
          <w:bCs/>
          <w:i/>
          <w:iCs/>
          <w:szCs w:val="20"/>
        </w:rPr>
      </w:pPr>
      <w:r w:rsidRPr="00387EAC">
        <w:rPr>
          <w:rFonts w:ascii="Times New Roman" w:hAnsi="Times New Roman"/>
          <w:b/>
          <w:bCs/>
          <w:i/>
          <w:iCs/>
          <w:szCs w:val="20"/>
        </w:rPr>
        <w:t>NORM urges the Administration to rescind or revise the 2018 guidance allowing MA plans to impose step therapy and prior authorization requirements on Part B drugs</w:t>
      </w:r>
      <w:r w:rsidRPr="00D052CB">
        <w:rPr>
          <w:rFonts w:ascii="Times New Roman" w:hAnsi="Times New Roman"/>
          <w:b/>
          <w:bCs/>
          <w:szCs w:val="20"/>
        </w:rPr>
        <w:t>.</w:t>
      </w:r>
      <w:r w:rsidRPr="00D052CB">
        <w:rPr>
          <w:rFonts w:ascii="Times New Roman" w:hAnsi="Times New Roman"/>
          <w:szCs w:val="20"/>
        </w:rPr>
        <w:t xml:space="preserve"> Ensuring timely access to physician-prescribed therapies will reduce administrative waste, lower overall Medicare costs by avoiding disease complications, and protect patient access to community-based rheumatologic care.</w:t>
      </w:r>
    </w:p>
    <w:p w:rsidR="005C570B" w:rsidRPr="00D052CB" w:rsidP="005C570B" w14:paraId="1E262C24" w14:textId="77777777">
      <w:pPr>
        <w:jc w:val="both"/>
        <w:rPr>
          <w:szCs w:val="20"/>
        </w:rPr>
      </w:pPr>
    </w:p>
    <w:p w:rsidR="00585A62" w:rsidRPr="00D052CB" w:rsidP="00585A62" w14:paraId="25231610" w14:textId="6C7D795D">
      <w:pPr>
        <w:pStyle w:val="Heading4"/>
        <w:rPr>
          <w:szCs w:val="20"/>
        </w:rPr>
      </w:pPr>
      <w:r w:rsidRPr="00D052CB">
        <w:rPr>
          <w:szCs w:val="20"/>
        </w:rPr>
        <w:t xml:space="preserve">“Underwater” </w:t>
      </w:r>
      <w:r w:rsidRPr="00D052CB">
        <w:rPr>
          <w:szCs w:val="20"/>
        </w:rPr>
        <w:t>Biosimilar</w:t>
      </w:r>
      <w:r w:rsidRPr="00D052CB">
        <w:rPr>
          <w:szCs w:val="20"/>
        </w:rPr>
        <w:t>s</w:t>
      </w:r>
      <w:r w:rsidRPr="00D052CB">
        <w:rPr>
          <w:szCs w:val="20"/>
        </w:rPr>
        <w:t xml:space="preserve"> </w:t>
      </w:r>
    </w:p>
    <w:p w:rsidR="00712495" w:rsidRPr="00D052CB" w:rsidP="00712495" w14:paraId="417C3E4A" w14:textId="23734917">
      <w:pPr>
        <w:jc w:val="both"/>
        <w:rPr>
          <w:rFonts w:ascii="Times New Roman" w:hAnsi="Times New Roman"/>
          <w:szCs w:val="20"/>
        </w:rPr>
      </w:pPr>
      <w:r w:rsidRPr="00D052CB">
        <w:rPr>
          <w:rFonts w:ascii="Times New Roman" w:hAnsi="Times New Roman"/>
          <w:szCs w:val="20"/>
        </w:rPr>
        <w:t>Medicare Part B drug payment relies on manufacturer-reported average sales prices (ASPs), a system that increasingly disadvantages community-based rheumatology practices. Due to the influence of manufacturer rebates and discounts—often aimed at achieving formulary preference in Medicare Advantage and commercial plans—the reported ASPs for many biosimilars have fallen below the acquisition costs providers must pay. This phenomenon, known as “underwater” biosimilar reimbursement, forces practices to choose between administering these therapies at a loss or referring patients to hospital outpatient departments, which increases Medicare program spending and worsens patient access to care. Given the critical role of biosimilars in managing autoimmune diseases, failure to address this reimbursement shortfall jeopardizes the financial stability of rheumatology practices and undermines policy goals of promoting biosimilar adoption.</w:t>
      </w:r>
    </w:p>
    <w:p w:rsidR="00712495" w:rsidRPr="00D052CB" w:rsidP="00712495" w14:paraId="566E73F3" w14:textId="77777777">
      <w:pPr>
        <w:jc w:val="both"/>
        <w:rPr>
          <w:rFonts w:ascii="Times New Roman" w:hAnsi="Times New Roman"/>
          <w:szCs w:val="20"/>
        </w:rPr>
      </w:pPr>
    </w:p>
    <w:p w:rsidR="00585A62" w:rsidRPr="00D052CB" w:rsidP="00712495" w14:paraId="086B026F" w14:textId="720D1EC5">
      <w:pPr>
        <w:jc w:val="both"/>
        <w:rPr>
          <w:rFonts w:ascii="Times New Roman" w:hAnsi="Times New Roman"/>
          <w:szCs w:val="20"/>
        </w:rPr>
      </w:pPr>
      <w:r w:rsidRPr="00D052CB">
        <w:rPr>
          <w:rFonts w:ascii="Times New Roman" w:hAnsi="Times New Roman"/>
          <w:b/>
          <w:bCs/>
          <w:i/>
          <w:iCs/>
          <w:szCs w:val="20"/>
        </w:rPr>
        <w:t>NORM respectfully urges the Administration to work with Congress to provide the Secretary with flexibility to address this challenge.</w:t>
      </w:r>
      <w:r w:rsidRPr="00D052CB">
        <w:rPr>
          <w:rFonts w:ascii="Times New Roman" w:hAnsi="Times New Roman"/>
          <w:szCs w:val="20"/>
        </w:rPr>
        <w:t xml:space="preserve"> Targeted solutions may include giving the Secretary the authority to exclude rebates from the ASP calculation for biosimilars or temporarily allowing reimbursement for biosimilars at WAC+3% until ASPs better </w:t>
      </w:r>
      <w:r w:rsidRPr="00D052CB">
        <w:rPr>
          <w:rFonts w:ascii="Times New Roman" w:hAnsi="Times New Roman"/>
          <w:szCs w:val="20"/>
        </w:rPr>
        <w:t>reflect actual market acquisition costs. Addressing the distortion in ASP-based reimbursement would protect patient access, foster biosimilar adoption, and help sustain independent rheumatology practices.</w:t>
      </w:r>
    </w:p>
    <w:p w:rsidR="001E1E2A" w:rsidRPr="00D052CB" w:rsidP="00C44B46" w14:paraId="07921BFA" w14:textId="77777777">
      <w:pPr>
        <w:rPr>
          <w:rFonts w:ascii="Times New Roman" w:hAnsi="Times New Roman" w:cs="Times New Roman"/>
          <w:szCs w:val="20"/>
        </w:rPr>
      </w:pPr>
    </w:p>
    <w:p w:rsidR="00036B1E" w:rsidRPr="00D052CB" w:rsidP="00036B1E" w14:paraId="055A5011" w14:textId="33FFA2AB">
      <w:pPr>
        <w:pStyle w:val="Heading4"/>
        <w:rPr>
          <w:szCs w:val="20"/>
        </w:rPr>
      </w:pPr>
      <w:r w:rsidRPr="00D052CB">
        <w:rPr>
          <w:szCs w:val="20"/>
        </w:rPr>
        <w:t>Self-Administered Drug</w:t>
      </w:r>
      <w:r w:rsidRPr="00D052CB" w:rsidR="00AF483F">
        <w:rPr>
          <w:szCs w:val="20"/>
        </w:rPr>
        <w:t xml:space="preserve"> (SAD)</w:t>
      </w:r>
      <w:r w:rsidRPr="00D052CB">
        <w:rPr>
          <w:szCs w:val="20"/>
        </w:rPr>
        <w:t xml:space="preserve"> Exclusion List</w:t>
      </w:r>
    </w:p>
    <w:p w:rsidR="00AF483F" w:rsidRPr="00D052CB" w:rsidP="00AF483F" w14:paraId="77B7AA25" w14:textId="2F5F8C57">
      <w:pPr>
        <w:rPr>
          <w:rFonts w:ascii="Times New Roman" w:hAnsi="Times New Roman" w:cs="Times New Roman"/>
          <w:szCs w:val="20"/>
        </w:rPr>
      </w:pPr>
      <w:r w:rsidRPr="00D052CB">
        <w:rPr>
          <w:rFonts w:ascii="Times New Roman" w:hAnsi="Times New Roman" w:cs="Times New Roman"/>
          <w:szCs w:val="20"/>
        </w:rPr>
        <w:t>Medicare’s Self-Administered Drug (SAD) Exclusion List policies create unnecessary barriers to care for rheumatology patients. The criteria used to determine whether a drug is "usually" self-administered are outdated and do not account for real-world patient limitations, particularly among the Medicare populations served by our practices.</w:t>
      </w:r>
    </w:p>
    <w:p w:rsidR="00AF483F" w:rsidRPr="00D052CB" w:rsidP="00AF483F" w14:paraId="5C073EE2" w14:textId="77777777">
      <w:pPr>
        <w:rPr>
          <w:rFonts w:ascii="Times New Roman" w:hAnsi="Times New Roman" w:cs="Times New Roman"/>
          <w:szCs w:val="20"/>
        </w:rPr>
      </w:pPr>
    </w:p>
    <w:p w:rsidR="00AF483F" w:rsidRPr="00D052CB" w:rsidP="00AF483F" w14:paraId="1D043E3E" w14:textId="59011785">
      <w:pPr>
        <w:rPr>
          <w:rFonts w:ascii="Times New Roman" w:hAnsi="Times New Roman" w:cs="Times New Roman"/>
          <w:szCs w:val="20"/>
        </w:rPr>
      </w:pPr>
      <w:r w:rsidRPr="00D052CB">
        <w:rPr>
          <w:rFonts w:ascii="Times New Roman" w:hAnsi="Times New Roman" w:cs="Times New Roman"/>
          <w:szCs w:val="20"/>
        </w:rPr>
        <w:t>Many rheumatologic therapies have a self-administered formulation but are difficult or impossible for patients with physical or cognitive impairments to use without assistance. When these drugs are moved to the SAD Exclusion List, the physician-administered formulations are no longer covered under Part B, forcing beneficiaries to pay out-of-pocket, “non-medically switch” their therapy, or go without necessary treatment. These policies create barriers to care, and drive up Medicare spending, as confirmed by recent reports from the Department of Health and Human Services (HHS) Office of Inspector General (OIG) reports showing higher costs when drugs like Stelara are covered under Part D instead of Part B.</w:t>
      </w:r>
    </w:p>
    <w:p w:rsidR="00AF483F" w:rsidRPr="00D052CB" w:rsidP="00AF483F" w14:paraId="46D497B5" w14:textId="77777777">
      <w:pPr>
        <w:rPr>
          <w:rFonts w:ascii="Times New Roman" w:hAnsi="Times New Roman" w:cs="Times New Roman"/>
          <w:szCs w:val="20"/>
        </w:rPr>
      </w:pPr>
    </w:p>
    <w:p w:rsidR="00036B1E" w:rsidRPr="00D052CB" w:rsidP="00AF483F" w14:paraId="2999B726" w14:textId="2F2F45D9">
      <w:pPr>
        <w:rPr>
          <w:rFonts w:ascii="Times New Roman" w:hAnsi="Times New Roman" w:cs="Times New Roman"/>
          <w:szCs w:val="20"/>
        </w:rPr>
      </w:pPr>
      <w:r w:rsidRPr="00D052CB">
        <w:rPr>
          <w:rFonts w:ascii="Times New Roman" w:hAnsi="Times New Roman" w:cs="Times New Roman"/>
          <w:b/>
          <w:bCs/>
          <w:i/>
          <w:iCs/>
          <w:szCs w:val="20"/>
        </w:rPr>
        <w:t>NORM urges the Administration to modify the SAD Exclusion List criteria to better reflect patient needs and clinical realities, and to require greater transparency from Medicare Administrative Contractors when making SAD Exclusion List determinations.</w:t>
      </w:r>
      <w:r w:rsidRPr="00D052CB">
        <w:rPr>
          <w:rFonts w:ascii="Times New Roman" w:hAnsi="Times New Roman" w:cs="Times New Roman"/>
          <w:szCs w:val="20"/>
        </w:rPr>
        <w:t xml:space="preserve"> Additional details on our requests can be found in </w:t>
      </w:r>
      <w:r w:rsidR="00A6288A">
        <w:rPr>
          <w:rFonts w:ascii="Times New Roman" w:hAnsi="Times New Roman" w:cs="Times New Roman"/>
          <w:szCs w:val="20"/>
        </w:rPr>
        <w:t xml:space="preserve">a </w:t>
      </w:r>
      <w:hyperlink r:id="rId5" w:history="1">
        <w:r w:rsidRPr="00E744AA" w:rsidR="00A6288A">
          <w:rPr>
            <w:rStyle w:val="Hyperlink"/>
            <w:rFonts w:ascii="Times New Roman" w:hAnsi="Times New Roman" w:cs="Times New Roman"/>
            <w:szCs w:val="20"/>
          </w:rPr>
          <w:t>stakeholder</w:t>
        </w:r>
        <w:r w:rsidRPr="00E744AA">
          <w:rPr>
            <w:rStyle w:val="Hyperlink"/>
            <w:rFonts w:ascii="Times New Roman" w:hAnsi="Times New Roman" w:cs="Times New Roman"/>
            <w:szCs w:val="20"/>
          </w:rPr>
          <w:t xml:space="preserve"> letter to HHS Secretary Kennedy</w:t>
        </w:r>
      </w:hyperlink>
      <w:r w:rsidRPr="00D052CB">
        <w:rPr>
          <w:rFonts w:ascii="Times New Roman" w:hAnsi="Times New Roman" w:cs="Times New Roman"/>
          <w:szCs w:val="20"/>
        </w:rPr>
        <w:t>. Ensuring appropriate Part B coverage for physician-administered therapies would lower Medicare costs and protect access to medication therapy for patients with autoimmune diseases.</w:t>
      </w:r>
    </w:p>
    <w:p w:rsidR="00036B1E" w:rsidP="00036B1E" w14:paraId="287077BB" w14:textId="77777777">
      <w:pPr>
        <w:rPr>
          <w:szCs w:val="20"/>
        </w:rPr>
      </w:pPr>
    </w:p>
    <w:p w:rsidR="00702DB9" w:rsidRPr="00D052CB" w:rsidP="00702DB9" w14:paraId="27F1CD9E" w14:textId="77777777">
      <w:pPr>
        <w:pStyle w:val="Heading4"/>
        <w:rPr>
          <w:szCs w:val="20"/>
        </w:rPr>
      </w:pPr>
      <w:r w:rsidRPr="00D052CB">
        <w:rPr>
          <w:szCs w:val="20"/>
        </w:rPr>
        <w:t>Coding Edits</w:t>
      </w:r>
    </w:p>
    <w:p w:rsidR="00702DB9" w:rsidRPr="00D052CB" w:rsidP="00702DB9" w14:paraId="0269E7F7" w14:textId="77777777">
      <w:pPr>
        <w:jc w:val="both"/>
        <w:rPr>
          <w:rFonts w:ascii="Times New Roman" w:hAnsi="Times New Roman" w:cs="Times New Roman"/>
          <w:szCs w:val="20"/>
        </w:rPr>
      </w:pPr>
      <w:r w:rsidRPr="00D052CB">
        <w:rPr>
          <w:rFonts w:ascii="Times New Roman" w:hAnsi="Times New Roman" w:cs="Times New Roman"/>
          <w:szCs w:val="20"/>
        </w:rPr>
        <w:t>Rheumatology practices also face unnecessary administrative burdens related to outdated Medically Unlikely Edits (MUEs) applied to drug codes. A particularly problematic example is the MUE for J1602 (golimumab), which limits coverage to 300 units per claim. Simponi is weight-based, and many Medicare beneficiaries with rheumatoid arthritis, psoriatic arthritis, or ankylosing spondylitis require doses exceeding this limit based on FDA labeling and standard clinical practice.</w:t>
      </w:r>
    </w:p>
    <w:p w:rsidR="00702DB9" w:rsidRPr="00D052CB" w:rsidP="00702DB9" w14:paraId="33F49FBC" w14:textId="77777777">
      <w:pPr>
        <w:jc w:val="both"/>
        <w:rPr>
          <w:rFonts w:ascii="Times New Roman" w:hAnsi="Times New Roman" w:cs="Times New Roman"/>
          <w:szCs w:val="20"/>
        </w:rPr>
      </w:pPr>
    </w:p>
    <w:p w:rsidR="00702DB9" w:rsidRPr="00D052CB" w:rsidP="00702DB9" w14:paraId="4AA0C132" w14:textId="77777777">
      <w:pPr>
        <w:jc w:val="both"/>
        <w:rPr>
          <w:rFonts w:ascii="Times New Roman" w:hAnsi="Times New Roman" w:cs="Times New Roman"/>
          <w:szCs w:val="20"/>
        </w:rPr>
      </w:pPr>
      <w:r w:rsidRPr="00D052CB">
        <w:rPr>
          <w:rFonts w:ascii="Times New Roman" w:hAnsi="Times New Roman" w:cs="Times New Roman"/>
          <w:szCs w:val="20"/>
        </w:rPr>
        <w:t>Patients with obesity—who are at increased risk of severe disease progression—frequently require higher doses. When MUEs do not align with clinical realities, practices must endure repeated claim denials and appeals, adding unnecessary administrative expense and delaying treatment for vulnerable patients.</w:t>
      </w:r>
    </w:p>
    <w:p w:rsidR="00702DB9" w:rsidRPr="00D052CB" w:rsidP="00702DB9" w14:paraId="14207A1A" w14:textId="77777777">
      <w:pPr>
        <w:jc w:val="both"/>
        <w:rPr>
          <w:rFonts w:ascii="Times New Roman" w:hAnsi="Times New Roman" w:cs="Times New Roman"/>
          <w:szCs w:val="20"/>
        </w:rPr>
      </w:pPr>
    </w:p>
    <w:p w:rsidR="00702DB9" w:rsidRPr="00D052CB" w:rsidP="00702DB9" w14:paraId="3CF8F03E" w14:textId="77777777">
      <w:pPr>
        <w:jc w:val="both"/>
        <w:rPr>
          <w:rFonts w:ascii="Times New Roman" w:hAnsi="Times New Roman" w:cs="Times New Roman"/>
          <w:szCs w:val="20"/>
        </w:rPr>
      </w:pPr>
      <w:r w:rsidRPr="00D052CB">
        <w:rPr>
          <w:rFonts w:ascii="Times New Roman" w:hAnsi="Times New Roman" w:cs="Times New Roman"/>
          <w:b/>
          <w:bCs/>
          <w:i/>
          <w:iCs/>
          <w:szCs w:val="20"/>
        </w:rPr>
        <w:t>NORM requests that CMS revise the MUE for J1602 to 400 units.</w:t>
      </w:r>
      <w:r w:rsidRPr="00D052CB">
        <w:rPr>
          <w:rFonts w:ascii="Times New Roman" w:hAnsi="Times New Roman" w:cs="Times New Roman"/>
          <w:szCs w:val="20"/>
        </w:rPr>
        <w:t xml:space="preserve"> This update would reduce burdensome appeals, support evidence-based dosing practices, and ensure that overweight and obese Medicare beneficiaries receive the appropriate care their clinical condition demands.</w:t>
      </w:r>
    </w:p>
    <w:p w:rsidR="00183F68" w:rsidP="00036B1E" w14:paraId="47966E50" w14:textId="77777777">
      <w:pPr>
        <w:rPr>
          <w:szCs w:val="20"/>
        </w:rPr>
      </w:pPr>
    </w:p>
    <w:p w:rsidR="0073732F" w:rsidRPr="00D052CB" w:rsidP="0073732F" w14:paraId="12B4C311" w14:textId="77777777">
      <w:pPr>
        <w:pStyle w:val="Heading4"/>
        <w:rPr>
          <w:szCs w:val="20"/>
        </w:rPr>
      </w:pPr>
      <w:r w:rsidRPr="00D052CB">
        <w:rPr>
          <w:szCs w:val="20"/>
        </w:rPr>
        <w:t>Merit-based Incentive Payment System (MIPS)</w:t>
      </w:r>
    </w:p>
    <w:p w:rsidR="0073732F" w:rsidRPr="00D052CB" w:rsidP="0073732F" w14:paraId="3BAC1D78" w14:textId="77777777">
      <w:pPr>
        <w:rPr>
          <w:rFonts w:ascii="Times New Roman" w:hAnsi="Times New Roman"/>
          <w:szCs w:val="20"/>
        </w:rPr>
      </w:pPr>
      <w:r w:rsidRPr="00D052CB">
        <w:rPr>
          <w:rFonts w:ascii="Times New Roman" w:hAnsi="Times New Roman"/>
          <w:szCs w:val="20"/>
        </w:rPr>
        <w:t>Rheumatology practices—particularly smaller, independent practices—face significant challenges under the Quality Payment Program (QPP), especially with the Merit-based Incentive Payment System (MIPS). Rather than supporting improvements in patient care, MIPS imposes costly, frequently changing reporting requirements that divert time and resources from patients. Despite these substantial investments, there is no evidence that MIPS has improved outcomes, reduced costs, or driven meaningful changes in physician behavior that advance healthcare quality. Indeed, we are especially disappointed that CMS implemented a rheumatoid arthritis (RA) cost measure beginning with the CY 2025 performance period/2027 MIPS payment year, despite significant concerns raised by NORM and other stakeholders, and a "do not recommend" final vote from CMS’ consensus-based entity. From the outset, we shared with CMS that this flawed cost measure fails to reflect the complexity of rheumatologic care and is poised to penalize practices without improving quality or outcomes.</w:t>
      </w:r>
    </w:p>
    <w:p w:rsidR="0073732F" w:rsidRPr="00D052CB" w:rsidP="0073732F" w14:paraId="54F36A92" w14:textId="77777777">
      <w:pPr>
        <w:rPr>
          <w:rFonts w:ascii="Times New Roman" w:hAnsi="Times New Roman"/>
          <w:szCs w:val="20"/>
        </w:rPr>
      </w:pPr>
    </w:p>
    <w:p w:rsidR="0073732F" w:rsidRPr="00D052CB" w:rsidP="0073732F" w14:paraId="194C450C" w14:textId="77777777">
      <w:pPr>
        <w:rPr>
          <w:rFonts w:ascii="Times New Roman" w:hAnsi="Times New Roman"/>
          <w:b/>
          <w:bCs/>
          <w:i/>
          <w:iCs/>
          <w:szCs w:val="20"/>
        </w:rPr>
      </w:pPr>
      <w:r w:rsidRPr="00D052CB">
        <w:rPr>
          <w:rFonts w:ascii="Times New Roman" w:hAnsi="Times New Roman"/>
          <w:b/>
          <w:bCs/>
          <w:i/>
          <w:iCs/>
          <w:szCs w:val="20"/>
        </w:rPr>
        <w:t>NORM urges the Administration to work with Congress to eliminate MIPS, as it has failed to achieve its intended goals and only imposes unnecessary burden and cost on physician practices. At a minimum, if MIPS is not eliminated, we strongly urge expansion of exemptions so that small practices are no longer forced to participate in a program that adds no value to beneficiary care.</w:t>
      </w:r>
    </w:p>
    <w:p w:rsidR="0073732F" w:rsidP="0049352B" w14:paraId="0A0CA806" w14:textId="77777777">
      <w:pPr>
        <w:jc w:val="center"/>
        <w:rPr>
          <w:rFonts w:ascii="Times New Roman" w:hAnsi="Times New Roman" w:cs="Times New Roman"/>
          <w:szCs w:val="20"/>
        </w:rPr>
      </w:pPr>
    </w:p>
    <w:p w:rsidR="0073732F" w:rsidRPr="009C3A9B" w:rsidP="0073732F" w14:paraId="7FFEE828" w14:textId="7C18A6A1">
      <w:pPr>
        <w:pStyle w:val="Heading4"/>
      </w:pPr>
      <w:r w:rsidRPr="009C3A9B">
        <w:t xml:space="preserve">Network Adequacy </w:t>
      </w:r>
    </w:p>
    <w:p w:rsidR="0073732F" w:rsidRPr="0073732F" w:rsidP="0073732F" w14:paraId="711D35B9" w14:textId="4CCB74F3">
      <w:pPr>
        <w:rPr>
          <w:rFonts w:ascii="Times New Roman" w:hAnsi="Times New Roman" w:cs="Times New Roman"/>
          <w:szCs w:val="20"/>
        </w:rPr>
      </w:pPr>
      <w:r w:rsidRPr="0073732F">
        <w:rPr>
          <w:rFonts w:ascii="Times New Roman" w:hAnsi="Times New Roman" w:cs="Times New Roman"/>
          <w:szCs w:val="20"/>
        </w:rPr>
        <w:t xml:space="preserve">Inadequate access to specialty care is an ongoing challenge that has become even more difficult in the rheumatology field. </w:t>
      </w:r>
      <w:r>
        <w:rPr>
          <w:rFonts w:ascii="Times New Roman" w:hAnsi="Times New Roman" w:cs="Times New Roman"/>
          <w:szCs w:val="20"/>
        </w:rPr>
        <w:t>CMS’</w:t>
      </w:r>
      <w:r w:rsidRPr="0073732F">
        <w:rPr>
          <w:rFonts w:ascii="Times New Roman" w:hAnsi="Times New Roman" w:cs="Times New Roman"/>
          <w:szCs w:val="20"/>
        </w:rPr>
        <w:t xml:space="preserve"> network adequacy criteria </w:t>
      </w:r>
      <w:r>
        <w:rPr>
          <w:rFonts w:ascii="Times New Roman" w:hAnsi="Times New Roman" w:cs="Times New Roman"/>
          <w:szCs w:val="20"/>
        </w:rPr>
        <w:t xml:space="preserve">for MA plans does not meaningfully ensure access to </w:t>
      </w:r>
      <w:r w:rsidRPr="0073732F">
        <w:rPr>
          <w:rFonts w:ascii="Times New Roman" w:hAnsi="Times New Roman" w:cs="Times New Roman"/>
          <w:szCs w:val="20"/>
        </w:rPr>
        <w:t>the specialty care needs of patients with chronic and complex conditions.</w:t>
      </w:r>
      <w:r>
        <w:rPr>
          <w:rFonts w:ascii="Times New Roman" w:hAnsi="Times New Roman" w:cs="Times New Roman"/>
          <w:szCs w:val="20"/>
        </w:rPr>
        <w:t xml:space="preserve"> Our members frequently report that patient's contact them for an appointment after enrolling in an MA plan, only to find out that their rheumatologist is not “in-network</w:t>
      </w:r>
      <w:r>
        <w:rPr>
          <w:rFonts w:ascii="Times New Roman" w:hAnsi="Times New Roman" w:cs="Times New Roman"/>
          <w:szCs w:val="20"/>
        </w:rPr>
        <w:t>”</w:t>
      </w:r>
      <w:r>
        <w:rPr>
          <w:rFonts w:ascii="Times New Roman" w:hAnsi="Times New Roman" w:cs="Times New Roman"/>
          <w:szCs w:val="20"/>
        </w:rPr>
        <w:t xml:space="preserve"> and they must find care elsewhere. Many of these patients are on medication therapy that follows a rigid protocol; losing access to their rheumatologist not only disrupts </w:t>
      </w:r>
      <w:r w:rsidR="00FD24D3">
        <w:rPr>
          <w:rFonts w:ascii="Times New Roman" w:hAnsi="Times New Roman" w:cs="Times New Roman"/>
          <w:szCs w:val="20"/>
        </w:rPr>
        <w:t>their treatment regimen</w:t>
      </w:r>
      <w:r>
        <w:rPr>
          <w:rFonts w:ascii="Times New Roman" w:hAnsi="Times New Roman" w:cs="Times New Roman"/>
          <w:szCs w:val="20"/>
        </w:rPr>
        <w:t xml:space="preserve">, but puts them at risk of losing access altogether </w:t>
      </w:r>
      <w:r w:rsidR="00FD24D3">
        <w:rPr>
          <w:rFonts w:ascii="Times New Roman" w:hAnsi="Times New Roman" w:cs="Times New Roman"/>
          <w:szCs w:val="20"/>
        </w:rPr>
        <w:t xml:space="preserve">if another practice is unable to offer the care. </w:t>
      </w:r>
    </w:p>
    <w:p w:rsidR="0073732F" w:rsidRPr="0073732F" w:rsidP="0073732F" w14:paraId="08A2E954" w14:textId="77777777">
      <w:pPr>
        <w:rPr>
          <w:rFonts w:ascii="Times New Roman" w:hAnsi="Times New Roman" w:cs="Times New Roman"/>
          <w:szCs w:val="20"/>
        </w:rPr>
      </w:pPr>
    </w:p>
    <w:p w:rsidR="00FD24D3" w:rsidP="0073732F" w14:paraId="45BA888A" w14:textId="1C0FCFC1">
      <w:pPr>
        <w:rPr>
          <w:rFonts w:ascii="Times New Roman" w:hAnsi="Times New Roman" w:cs="Times New Roman"/>
          <w:szCs w:val="20"/>
        </w:rPr>
      </w:pPr>
      <w:r w:rsidRPr="0073732F">
        <w:rPr>
          <w:rFonts w:ascii="Times New Roman" w:hAnsi="Times New Roman" w:cs="Times New Roman"/>
          <w:szCs w:val="20"/>
        </w:rPr>
        <w:t xml:space="preserve">As an example, </w:t>
      </w:r>
      <w:r>
        <w:rPr>
          <w:rFonts w:ascii="Times New Roman" w:hAnsi="Times New Roman" w:cs="Times New Roman"/>
          <w:szCs w:val="20"/>
        </w:rPr>
        <w:t xml:space="preserve">several </w:t>
      </w:r>
      <w:r w:rsidRPr="0073732F">
        <w:rPr>
          <w:rFonts w:ascii="Times New Roman" w:hAnsi="Times New Roman" w:cs="Times New Roman"/>
          <w:szCs w:val="20"/>
        </w:rPr>
        <w:t>members in Florida report</w:t>
      </w:r>
      <w:r>
        <w:rPr>
          <w:rFonts w:ascii="Times New Roman" w:hAnsi="Times New Roman" w:cs="Times New Roman"/>
          <w:szCs w:val="20"/>
        </w:rPr>
        <w:t>ed</w:t>
      </w:r>
      <w:r w:rsidRPr="0073732F">
        <w:rPr>
          <w:rFonts w:ascii="Times New Roman" w:hAnsi="Times New Roman" w:cs="Times New Roman"/>
          <w:szCs w:val="20"/>
        </w:rPr>
        <w:t xml:space="preserve"> that a significant number of </w:t>
      </w:r>
      <w:r>
        <w:rPr>
          <w:rFonts w:ascii="Times New Roman" w:hAnsi="Times New Roman" w:cs="Times New Roman"/>
          <w:szCs w:val="20"/>
        </w:rPr>
        <w:t>their practices</w:t>
      </w:r>
      <w:r w:rsidRPr="0073732F">
        <w:rPr>
          <w:rFonts w:ascii="Times New Roman" w:hAnsi="Times New Roman" w:cs="Times New Roman"/>
          <w:szCs w:val="20"/>
        </w:rPr>
        <w:t xml:space="preserve"> were terminated from a large MA plan’s network, drastically reducing access for permanent residents, seasonal “snowbirds,” and Employer Group Waiver Plan (EGWP) enrollees. The impact has included longer wait times, fragmented care, and avoidable disease progression due to delays</w:t>
      </w:r>
      <w:r>
        <w:rPr>
          <w:rFonts w:ascii="Times New Roman" w:hAnsi="Times New Roman" w:cs="Times New Roman"/>
          <w:szCs w:val="20"/>
        </w:rPr>
        <w:t xml:space="preserve"> in accessing care. According to CMS and the plan, quantitative standards used to make network adequacy determinations (i.e., physician-to-beneficiary ratio and time-and-distance standards) were met and the plan’s network was adequate. We submit, however, that CMS’ </w:t>
      </w:r>
      <w:r w:rsidR="008C5B0A">
        <w:rPr>
          <w:rFonts w:ascii="Times New Roman" w:hAnsi="Times New Roman" w:cs="Times New Roman"/>
          <w:szCs w:val="20"/>
        </w:rPr>
        <w:t>quantitative</w:t>
      </w:r>
      <w:r>
        <w:rPr>
          <w:rFonts w:ascii="Times New Roman" w:hAnsi="Times New Roman" w:cs="Times New Roman"/>
          <w:szCs w:val="20"/>
        </w:rPr>
        <w:t xml:space="preserve"> standards are flawed, particularly in rheumatology where increased rates of autoimmune diseases and ongoing workforce shortages are prevalent. </w:t>
      </w:r>
    </w:p>
    <w:p w:rsidR="00FD24D3" w:rsidP="0073732F" w14:paraId="5FB124D5" w14:textId="77777777">
      <w:pPr>
        <w:rPr>
          <w:rFonts w:ascii="Times New Roman" w:hAnsi="Times New Roman" w:cs="Times New Roman"/>
          <w:szCs w:val="20"/>
        </w:rPr>
      </w:pPr>
    </w:p>
    <w:p w:rsidR="0073732F" w:rsidP="0073732F" w14:paraId="2A288068" w14:textId="32409566">
      <w:pPr>
        <w:rPr>
          <w:rFonts w:ascii="Times New Roman" w:hAnsi="Times New Roman" w:cs="Times New Roman"/>
          <w:szCs w:val="20"/>
        </w:rPr>
      </w:pPr>
      <w:r w:rsidRPr="0073732F">
        <w:rPr>
          <w:rFonts w:ascii="Times New Roman" w:hAnsi="Times New Roman" w:cs="Times New Roman"/>
          <w:szCs w:val="20"/>
        </w:rPr>
        <w:t xml:space="preserve">To address our concerns and that of our patients enrolled in MA plans, </w:t>
      </w:r>
      <w:r w:rsidRPr="00FD24D3">
        <w:rPr>
          <w:rFonts w:ascii="Times New Roman" w:hAnsi="Times New Roman" w:cs="Times New Roman"/>
          <w:b/>
          <w:bCs/>
          <w:i/>
          <w:iCs/>
          <w:szCs w:val="20"/>
        </w:rPr>
        <w:t xml:space="preserve">we </w:t>
      </w:r>
      <w:r w:rsidRPr="00FD24D3" w:rsidR="00FD24D3">
        <w:rPr>
          <w:rFonts w:ascii="Times New Roman" w:hAnsi="Times New Roman" w:cs="Times New Roman"/>
          <w:b/>
          <w:bCs/>
          <w:i/>
          <w:iCs/>
          <w:szCs w:val="20"/>
        </w:rPr>
        <w:t>urge the Administration to direct CMS to</w:t>
      </w:r>
      <w:r w:rsidRPr="00FD24D3">
        <w:rPr>
          <w:rFonts w:ascii="Times New Roman" w:hAnsi="Times New Roman" w:cs="Times New Roman"/>
          <w:b/>
          <w:bCs/>
          <w:i/>
          <w:iCs/>
          <w:szCs w:val="20"/>
        </w:rPr>
        <w:t xml:space="preserve"> adjust physician-to-beneficiary ratio</w:t>
      </w:r>
      <w:r w:rsidR="00FD24D3">
        <w:rPr>
          <w:rFonts w:ascii="Times New Roman" w:hAnsi="Times New Roman" w:cs="Times New Roman"/>
          <w:b/>
          <w:bCs/>
          <w:i/>
          <w:iCs/>
          <w:szCs w:val="20"/>
        </w:rPr>
        <w:t xml:space="preserve"> and</w:t>
      </w:r>
      <w:r w:rsidRPr="00FD24D3">
        <w:rPr>
          <w:rFonts w:ascii="Times New Roman" w:hAnsi="Times New Roman" w:cs="Times New Roman"/>
          <w:b/>
          <w:bCs/>
          <w:i/>
          <w:iCs/>
          <w:szCs w:val="20"/>
        </w:rPr>
        <w:t xml:space="preserve"> time</w:t>
      </w:r>
      <w:r w:rsidRPr="00FD24D3" w:rsidR="00FD24D3">
        <w:rPr>
          <w:rFonts w:ascii="Times New Roman" w:hAnsi="Times New Roman" w:cs="Times New Roman"/>
          <w:b/>
          <w:bCs/>
          <w:i/>
          <w:iCs/>
          <w:szCs w:val="20"/>
        </w:rPr>
        <w:t>-and-</w:t>
      </w:r>
      <w:r w:rsidRPr="00FD24D3">
        <w:rPr>
          <w:rFonts w:ascii="Times New Roman" w:hAnsi="Times New Roman" w:cs="Times New Roman"/>
          <w:b/>
          <w:bCs/>
          <w:i/>
          <w:iCs/>
          <w:szCs w:val="20"/>
        </w:rPr>
        <w:t>distance standards to reflect the actual needs of beneficiaries, particularly in specialties with critical workforce shortages, including rheumatology.</w:t>
      </w:r>
      <w:r w:rsidRPr="0073732F">
        <w:rPr>
          <w:rFonts w:ascii="Times New Roman" w:hAnsi="Times New Roman" w:cs="Times New Roman"/>
          <w:szCs w:val="20"/>
        </w:rPr>
        <w:t xml:space="preserve"> Recognizing the relationship between network adequacy and provider directories, </w:t>
      </w:r>
      <w:r w:rsidRPr="008C5B0A">
        <w:rPr>
          <w:rFonts w:ascii="Times New Roman" w:hAnsi="Times New Roman" w:cs="Times New Roman"/>
          <w:b/>
          <w:bCs/>
          <w:i/>
          <w:iCs/>
          <w:szCs w:val="20"/>
        </w:rPr>
        <w:t xml:space="preserve">we </w:t>
      </w:r>
      <w:r w:rsidRPr="008C5B0A" w:rsidR="00FD24D3">
        <w:rPr>
          <w:rFonts w:ascii="Times New Roman" w:hAnsi="Times New Roman" w:cs="Times New Roman"/>
          <w:b/>
          <w:bCs/>
          <w:i/>
          <w:iCs/>
          <w:szCs w:val="20"/>
        </w:rPr>
        <w:t xml:space="preserve">further ask the Administration to direct </w:t>
      </w:r>
      <w:r w:rsidRPr="008C5B0A">
        <w:rPr>
          <w:rFonts w:ascii="Times New Roman" w:hAnsi="Times New Roman" w:cs="Times New Roman"/>
          <w:b/>
          <w:bCs/>
          <w:i/>
          <w:iCs/>
          <w:szCs w:val="20"/>
        </w:rPr>
        <w:t xml:space="preserve">CMS </w:t>
      </w:r>
      <w:r w:rsidRPr="008C5B0A" w:rsidR="00FD24D3">
        <w:rPr>
          <w:rFonts w:ascii="Times New Roman" w:hAnsi="Times New Roman" w:cs="Times New Roman"/>
          <w:b/>
          <w:bCs/>
          <w:i/>
          <w:iCs/>
          <w:szCs w:val="20"/>
        </w:rPr>
        <w:t xml:space="preserve">to </w:t>
      </w:r>
      <w:r w:rsidRPr="008C5B0A">
        <w:rPr>
          <w:rFonts w:ascii="Times New Roman" w:hAnsi="Times New Roman" w:cs="Times New Roman"/>
          <w:b/>
          <w:bCs/>
          <w:i/>
          <w:iCs/>
          <w:szCs w:val="20"/>
        </w:rPr>
        <w:t xml:space="preserve">strengthen enforcement of accurate, real-time provider directories </w:t>
      </w:r>
      <w:r w:rsidRPr="008C5B0A" w:rsidR="008C5B0A">
        <w:rPr>
          <w:rFonts w:ascii="Times New Roman" w:hAnsi="Times New Roman" w:cs="Times New Roman"/>
          <w:b/>
          <w:bCs/>
          <w:i/>
          <w:iCs/>
          <w:szCs w:val="20"/>
        </w:rPr>
        <w:t xml:space="preserve">and </w:t>
      </w:r>
      <w:r w:rsidRPr="008C5B0A">
        <w:rPr>
          <w:rFonts w:ascii="Times New Roman" w:hAnsi="Times New Roman" w:cs="Times New Roman"/>
          <w:b/>
          <w:bCs/>
          <w:i/>
          <w:iCs/>
          <w:szCs w:val="20"/>
        </w:rPr>
        <w:t xml:space="preserve">to populate </w:t>
      </w:r>
      <w:r w:rsidRPr="008C5B0A" w:rsidR="008C5B0A">
        <w:rPr>
          <w:rFonts w:ascii="Times New Roman" w:hAnsi="Times New Roman" w:cs="Times New Roman"/>
          <w:b/>
          <w:bCs/>
          <w:i/>
          <w:iCs/>
          <w:szCs w:val="20"/>
        </w:rPr>
        <w:t>those</w:t>
      </w:r>
      <w:r w:rsidRPr="008C5B0A">
        <w:rPr>
          <w:rFonts w:ascii="Times New Roman" w:hAnsi="Times New Roman" w:cs="Times New Roman"/>
          <w:b/>
          <w:bCs/>
          <w:i/>
          <w:iCs/>
          <w:szCs w:val="20"/>
        </w:rPr>
        <w:t xml:space="preserve"> directories based on the information practices provide to CMS when enrolling in the Provider Enrollment, Chain, and Ownership System (PECOS) system.</w:t>
      </w:r>
      <w:r w:rsidRPr="008C5B0A" w:rsidR="008C5B0A">
        <w:t xml:space="preserve"> </w:t>
      </w:r>
      <w:r w:rsidR="008C5B0A">
        <w:rPr>
          <w:rFonts w:ascii="Times New Roman" w:hAnsi="Times New Roman" w:cs="Times New Roman"/>
          <w:szCs w:val="20"/>
        </w:rPr>
        <w:t xml:space="preserve">Plans that fail to meet these standards to face </w:t>
      </w:r>
      <w:r w:rsidRPr="008C5B0A" w:rsidR="008C5B0A">
        <w:rPr>
          <w:rFonts w:ascii="Times New Roman" w:hAnsi="Times New Roman" w:cs="Times New Roman"/>
          <w:szCs w:val="20"/>
        </w:rPr>
        <w:t>penalties for non-compliance</w:t>
      </w:r>
      <w:r w:rsidR="008C5B0A">
        <w:rPr>
          <w:rFonts w:ascii="Times New Roman" w:hAnsi="Times New Roman" w:cs="Times New Roman"/>
          <w:szCs w:val="20"/>
        </w:rPr>
        <w:t>, including termination from the Medicare program.</w:t>
      </w:r>
    </w:p>
    <w:p w:rsidR="0073732F" w:rsidP="0073732F" w14:paraId="08C17053" w14:textId="77777777">
      <w:pPr>
        <w:rPr>
          <w:rFonts w:ascii="Times New Roman" w:hAnsi="Times New Roman" w:cs="Times New Roman"/>
          <w:szCs w:val="20"/>
        </w:rPr>
      </w:pPr>
    </w:p>
    <w:p w:rsidR="0049352B" w:rsidP="0049352B" w14:paraId="578C1BA1" w14:textId="3F826FED">
      <w:pPr>
        <w:jc w:val="center"/>
        <w:rPr>
          <w:rFonts w:ascii="Times New Roman" w:hAnsi="Times New Roman" w:cs="Times New Roman"/>
          <w:szCs w:val="20"/>
        </w:rPr>
      </w:pPr>
      <w:r w:rsidRPr="00D052CB">
        <w:rPr>
          <w:rFonts w:ascii="Times New Roman" w:hAnsi="Times New Roman" w:cs="Times New Roman"/>
          <w:szCs w:val="20"/>
        </w:rPr>
        <w:t>**</w:t>
      </w:r>
      <w:r w:rsidR="00D052CB">
        <w:rPr>
          <w:rFonts w:ascii="Times New Roman" w:hAnsi="Times New Roman" w:cs="Times New Roman"/>
          <w:szCs w:val="20"/>
        </w:rPr>
        <w:t>*</w:t>
      </w:r>
    </w:p>
    <w:p w:rsidR="00D052CB" w:rsidRPr="00D052CB" w:rsidP="0049352B" w14:paraId="1474AD7C" w14:textId="77777777">
      <w:pPr>
        <w:jc w:val="center"/>
        <w:rPr>
          <w:rFonts w:ascii="Times New Roman" w:hAnsi="Times New Roman" w:cs="Times New Roman"/>
          <w:szCs w:val="20"/>
        </w:rPr>
      </w:pPr>
    </w:p>
    <w:p w:rsidR="00EA62EA" w:rsidRPr="00D052CB" w:rsidP="00EA62EA" w14:paraId="24E960BC" w14:textId="65A54CDF">
      <w:pPr>
        <w:rPr>
          <w:rFonts w:ascii="Times New Roman" w:hAnsi="Times New Roman" w:cs="Times New Roman"/>
          <w:szCs w:val="20"/>
        </w:rPr>
      </w:pPr>
      <w:r w:rsidRPr="00D052CB">
        <w:rPr>
          <w:rFonts w:ascii="Times New Roman" w:hAnsi="Times New Roman" w:cs="Times New Roman"/>
          <w:szCs w:val="20"/>
        </w:rPr>
        <w:t>We appreciate the opportunity to provide feedback on regulations that impose undue burden on rheumatology practices</w:t>
      </w:r>
      <w:r w:rsidRPr="00D052CB" w:rsidR="00CA096E">
        <w:rPr>
          <w:rFonts w:ascii="Times New Roman" w:hAnsi="Times New Roman" w:cs="Times New Roman"/>
          <w:szCs w:val="20"/>
        </w:rPr>
        <w:t>, and most importantly, impede access to beneficiary care</w:t>
      </w:r>
      <w:r w:rsidRPr="00D052CB">
        <w:rPr>
          <w:rFonts w:ascii="Times New Roman" w:hAnsi="Times New Roman" w:cs="Times New Roman"/>
          <w:szCs w:val="20"/>
        </w:rPr>
        <w:t>.</w:t>
      </w:r>
      <w:r w:rsidRPr="00D052CB">
        <w:rPr>
          <w:rFonts w:ascii="Times New Roman" w:hAnsi="Times New Roman" w:cs="Times New Roman"/>
          <w:szCs w:val="20"/>
        </w:rPr>
        <w:t xml:space="preserve"> Should you have any questions or would like to set a time to discuss our comments in more detail, please contact Andrea Zlatkus, CMPM, CRMS, CRHC, Executive Director, NORM, at </w:t>
      </w:r>
      <w:hyperlink r:id="rId6" w:history="1">
        <w:r w:rsidRPr="00D052CB">
          <w:rPr>
            <w:rStyle w:val="Hyperlink"/>
            <w:rFonts w:ascii="Times New Roman" w:hAnsi="Times New Roman" w:cs="Times New Roman"/>
            <w:szCs w:val="20"/>
          </w:rPr>
          <w:t>andrea@normgroup.org</w:t>
        </w:r>
      </w:hyperlink>
      <w:r w:rsidRPr="00D052CB">
        <w:rPr>
          <w:rFonts w:ascii="Times New Roman" w:hAnsi="Times New Roman" w:cs="Times New Roman"/>
          <w:szCs w:val="20"/>
        </w:rPr>
        <w:t xml:space="preserve">. </w:t>
      </w:r>
    </w:p>
    <w:p w:rsidR="00EA62EA" w:rsidRPr="00D052CB" w:rsidP="00EA62EA" w14:paraId="2830C159" w14:textId="77777777">
      <w:pPr>
        <w:rPr>
          <w:rFonts w:ascii="Times New Roman" w:hAnsi="Times New Roman" w:cs="Times New Roman"/>
          <w:szCs w:val="20"/>
        </w:rPr>
      </w:pPr>
    </w:p>
    <w:p w:rsidR="007B6A98" w:rsidRPr="00D052CB" w:rsidP="00D22C61" w14:paraId="409A7153" w14:textId="24D48239">
      <w:pPr>
        <w:spacing w:after="200"/>
        <w:rPr>
          <w:rFonts w:ascii="Times New Roman" w:hAnsi="Times New Roman" w:cs="Times New Roman"/>
          <w:szCs w:val="20"/>
        </w:rPr>
      </w:pPr>
      <w:r w:rsidRPr="00D052CB">
        <w:rPr>
          <w:rFonts w:ascii="Times New Roman" w:eastAsia="Calibri" w:hAnsi="Times New Roman" w:cs="Times New Roman"/>
          <w:szCs w:val="20"/>
        </w:rPr>
        <w:t>Sincerely,</w:t>
      </w:r>
      <w:r w:rsidRPr="00D052CB">
        <w:rPr>
          <w:rFonts w:ascii="Times New Roman" w:eastAsia="Calibri" w:hAnsi="Times New Roman" w:cs="Times New Roman"/>
          <w:szCs w:val="20"/>
        </w:rPr>
        <w:br/>
      </w:r>
      <w:r w:rsidRPr="00D052CB">
        <w:rPr>
          <w:rFonts w:ascii="Times New Roman" w:hAnsi="Times New Roman" w:cs="Times New Roman"/>
          <w:noProof/>
          <w:color w:val="000000"/>
          <w:szCs w:val="20"/>
        </w:rPr>
        <w:drawing>
          <wp:inline distT="0" distB="0" distL="0" distR="0">
            <wp:extent cx="609259" cy="1865485"/>
            <wp:effectExtent l="0" t="5715" r="0" b="0"/>
            <wp:docPr id="1893667430"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3131" name="Picture 1" descr="A black letter on a white background&#10;&#10;AI-generated content may be incorrect."/>
                    <pic:cNvPicPr/>
                  </pic:nvPicPr>
                  <pic:blipFill>
                    <a:blip xmlns:r="http://schemas.openxmlformats.org/officeDocument/2006/relationships" r:embed="rId7"/>
                    <a:stretch>
                      <a:fillRect/>
                    </a:stretch>
                  </pic:blipFill>
                  <pic:spPr>
                    <a:xfrm rot="16200000">
                      <a:off x="0" y="0"/>
                      <a:ext cx="624942" cy="1913503"/>
                    </a:xfrm>
                    <a:prstGeom prst="rect">
                      <a:avLst/>
                    </a:prstGeom>
                  </pic:spPr>
                </pic:pic>
              </a:graphicData>
            </a:graphic>
          </wp:inline>
        </w:drawing>
      </w:r>
      <w:r w:rsidRPr="00D052CB" w:rsidR="00D22C61">
        <w:rPr>
          <w:rFonts w:ascii="Times New Roman" w:eastAsia="Calibri" w:hAnsi="Times New Roman" w:cs="Times New Roman"/>
          <w:szCs w:val="20"/>
        </w:rPr>
        <w:br/>
      </w:r>
      <w:r w:rsidRPr="00D052CB">
        <w:rPr>
          <w:rFonts w:ascii="Times New Roman" w:hAnsi="Times New Roman" w:cs="Times New Roman"/>
          <w:szCs w:val="20"/>
        </w:rPr>
        <w:t>Michelle A. Owen, CPC</w:t>
      </w:r>
      <w:r w:rsidRPr="00D052CB" w:rsidR="00D22C61">
        <w:rPr>
          <w:rFonts w:ascii="Times New Roman" w:hAnsi="Times New Roman" w:cs="Times New Roman"/>
          <w:szCs w:val="20"/>
        </w:rPr>
        <w:br/>
      </w:r>
      <w:r w:rsidRPr="00D052CB">
        <w:rPr>
          <w:rFonts w:ascii="Times New Roman" w:hAnsi="Times New Roman" w:cs="Times New Roman"/>
          <w:szCs w:val="20"/>
        </w:rPr>
        <w:t>President, NORM</w:t>
      </w:r>
    </w:p>
    <w:sectPr w:rsidSect="00A17C1C">
      <w:headerReference w:type="first" r:id="rId8"/>
      <w:pgSz w:w="12240" w:h="15840"/>
      <w:pgMar w:top="1440" w:right="1440" w:bottom="864"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7C1C" w14:paraId="178040D4" w14:textId="07BCD844">
    <w:pPr>
      <w:pStyle w:val="Header"/>
    </w:pPr>
    <w:r>
      <w:rPr>
        <w:noProof/>
      </w:rPr>
      <w:drawing>
        <wp:anchor distT="0" distB="0" distL="114300" distR="114300" simplePos="0" relativeHeight="251658240" behindDoc="1" locked="0" layoutInCell="1" allowOverlap="1">
          <wp:simplePos x="0" y="0"/>
          <wp:positionH relativeFrom="page">
            <wp:posOffset>12700</wp:posOffset>
          </wp:positionH>
          <wp:positionV relativeFrom="page">
            <wp:posOffset>25400</wp:posOffset>
          </wp:positionV>
          <wp:extent cx="7774032" cy="1005840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98173" name="Picture 1" descr="A close up of a 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4032"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545CD"/>
    <w:multiLevelType w:val="hybridMultilevel"/>
    <w:tmpl w:val="91700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24ADA"/>
    <w:multiLevelType w:val="hybridMultilevel"/>
    <w:tmpl w:val="AB127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D348C5"/>
    <w:multiLevelType w:val="hybridMultilevel"/>
    <w:tmpl w:val="E9948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6B5B4C"/>
    <w:multiLevelType w:val="hybridMultilevel"/>
    <w:tmpl w:val="62605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100D09"/>
    <w:multiLevelType w:val="hybridMultilevel"/>
    <w:tmpl w:val="849A9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A83AC6"/>
    <w:multiLevelType w:val="hybridMultilevel"/>
    <w:tmpl w:val="9B3600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00059C"/>
    <w:multiLevelType w:val="hybridMultilevel"/>
    <w:tmpl w:val="9DF07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36421F"/>
    <w:multiLevelType w:val="hybridMultilevel"/>
    <w:tmpl w:val="9C723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5E70C6"/>
    <w:multiLevelType w:val="multilevel"/>
    <w:tmpl w:val="59FC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BA5751"/>
    <w:multiLevelType w:val="hybridMultilevel"/>
    <w:tmpl w:val="1F101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B8425B"/>
    <w:multiLevelType w:val="hybridMultilevel"/>
    <w:tmpl w:val="BC50B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9B582D"/>
    <w:multiLevelType w:val="hybridMultilevel"/>
    <w:tmpl w:val="DD328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1AC210D"/>
    <w:multiLevelType w:val="hybridMultilevel"/>
    <w:tmpl w:val="71CAE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9"/>
  </w:num>
  <w:num w:numId="6">
    <w:abstractNumId w:val="10"/>
  </w:num>
  <w:num w:numId="7">
    <w:abstractNumId w:val="11"/>
  </w:num>
  <w:num w:numId="8">
    <w:abstractNumId w:val="12"/>
  </w:num>
  <w:num w:numId="9">
    <w:abstractNumId w:val="3"/>
  </w:num>
  <w:num w:numId="10">
    <w:abstractNumId w:val="7"/>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10"/>
    <w:rsid w:val="00011433"/>
    <w:rsid w:val="00014793"/>
    <w:rsid w:val="00015BA7"/>
    <w:rsid w:val="00021336"/>
    <w:rsid w:val="00036B1E"/>
    <w:rsid w:val="00042223"/>
    <w:rsid w:val="0008163E"/>
    <w:rsid w:val="000A73ED"/>
    <w:rsid w:val="00113E13"/>
    <w:rsid w:val="001222AE"/>
    <w:rsid w:val="00147738"/>
    <w:rsid w:val="00167BCE"/>
    <w:rsid w:val="00183F68"/>
    <w:rsid w:val="001A1C18"/>
    <w:rsid w:val="001C53E9"/>
    <w:rsid w:val="001E1E2A"/>
    <w:rsid w:val="001F689D"/>
    <w:rsid w:val="0024321A"/>
    <w:rsid w:val="00275B72"/>
    <w:rsid w:val="002820B1"/>
    <w:rsid w:val="00292B34"/>
    <w:rsid w:val="002D05F1"/>
    <w:rsid w:val="002D2886"/>
    <w:rsid w:val="002D4E53"/>
    <w:rsid w:val="0030438F"/>
    <w:rsid w:val="00304A69"/>
    <w:rsid w:val="00352B5F"/>
    <w:rsid w:val="00367095"/>
    <w:rsid w:val="003762FD"/>
    <w:rsid w:val="00384CEA"/>
    <w:rsid w:val="00387EAC"/>
    <w:rsid w:val="003A1421"/>
    <w:rsid w:val="003D11E8"/>
    <w:rsid w:val="0042363D"/>
    <w:rsid w:val="004267A4"/>
    <w:rsid w:val="004276BB"/>
    <w:rsid w:val="004314B3"/>
    <w:rsid w:val="00433DFD"/>
    <w:rsid w:val="0043573D"/>
    <w:rsid w:val="004413F9"/>
    <w:rsid w:val="004559B0"/>
    <w:rsid w:val="00473FDC"/>
    <w:rsid w:val="00480D64"/>
    <w:rsid w:val="0049352B"/>
    <w:rsid w:val="004C48A5"/>
    <w:rsid w:val="004E3B7C"/>
    <w:rsid w:val="00585A62"/>
    <w:rsid w:val="005A7471"/>
    <w:rsid w:val="005B38AE"/>
    <w:rsid w:val="005C570B"/>
    <w:rsid w:val="005C61C2"/>
    <w:rsid w:val="005C7B10"/>
    <w:rsid w:val="005F42E5"/>
    <w:rsid w:val="005F44DA"/>
    <w:rsid w:val="00623347"/>
    <w:rsid w:val="006761C2"/>
    <w:rsid w:val="006851DE"/>
    <w:rsid w:val="006965B5"/>
    <w:rsid w:val="006B0E7C"/>
    <w:rsid w:val="006F57FE"/>
    <w:rsid w:val="00702DB9"/>
    <w:rsid w:val="00712495"/>
    <w:rsid w:val="0073732F"/>
    <w:rsid w:val="00755DFF"/>
    <w:rsid w:val="00765CD9"/>
    <w:rsid w:val="00780139"/>
    <w:rsid w:val="007B2C56"/>
    <w:rsid w:val="007B6A98"/>
    <w:rsid w:val="007B73AF"/>
    <w:rsid w:val="007E17A7"/>
    <w:rsid w:val="00803F14"/>
    <w:rsid w:val="00814DA3"/>
    <w:rsid w:val="008223DC"/>
    <w:rsid w:val="00823828"/>
    <w:rsid w:val="00860942"/>
    <w:rsid w:val="008825E2"/>
    <w:rsid w:val="00882E6B"/>
    <w:rsid w:val="008C5B0A"/>
    <w:rsid w:val="008C69C2"/>
    <w:rsid w:val="008D2470"/>
    <w:rsid w:val="008E4022"/>
    <w:rsid w:val="009238CE"/>
    <w:rsid w:val="009C3A9B"/>
    <w:rsid w:val="009D17BD"/>
    <w:rsid w:val="009D53E7"/>
    <w:rsid w:val="009F2B10"/>
    <w:rsid w:val="00A17C1C"/>
    <w:rsid w:val="00A60766"/>
    <w:rsid w:val="00A6288A"/>
    <w:rsid w:val="00A81729"/>
    <w:rsid w:val="00A826DA"/>
    <w:rsid w:val="00A87B49"/>
    <w:rsid w:val="00A972E1"/>
    <w:rsid w:val="00AC2DE8"/>
    <w:rsid w:val="00AC4392"/>
    <w:rsid w:val="00AD03B1"/>
    <w:rsid w:val="00AF483F"/>
    <w:rsid w:val="00B17A63"/>
    <w:rsid w:val="00B31B23"/>
    <w:rsid w:val="00B43D08"/>
    <w:rsid w:val="00B47ED7"/>
    <w:rsid w:val="00B52064"/>
    <w:rsid w:val="00BA2AD8"/>
    <w:rsid w:val="00BB4C2D"/>
    <w:rsid w:val="00C242F0"/>
    <w:rsid w:val="00C36AA4"/>
    <w:rsid w:val="00C44B46"/>
    <w:rsid w:val="00C73BA5"/>
    <w:rsid w:val="00CA096E"/>
    <w:rsid w:val="00CA12DB"/>
    <w:rsid w:val="00D052CB"/>
    <w:rsid w:val="00D22C61"/>
    <w:rsid w:val="00D27D92"/>
    <w:rsid w:val="00D61008"/>
    <w:rsid w:val="00DB58B0"/>
    <w:rsid w:val="00DC602A"/>
    <w:rsid w:val="00DF5665"/>
    <w:rsid w:val="00E042A8"/>
    <w:rsid w:val="00E744AA"/>
    <w:rsid w:val="00EA3B0B"/>
    <w:rsid w:val="00EA62EA"/>
    <w:rsid w:val="00EC190C"/>
    <w:rsid w:val="00F013C8"/>
    <w:rsid w:val="00F23B8E"/>
    <w:rsid w:val="00F27612"/>
    <w:rsid w:val="00F308FB"/>
    <w:rsid w:val="00F410B7"/>
    <w:rsid w:val="00F4412C"/>
    <w:rsid w:val="00F95D5B"/>
    <w:rsid w:val="00FD24D3"/>
    <w:rsid w:val="00FD59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2119BA5-798E-5743-86F7-C0156E14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C2"/>
    <w:rPr>
      <w:sz w:val="20"/>
    </w:rPr>
  </w:style>
  <w:style w:type="paragraph" w:styleId="Heading1">
    <w:name w:val="heading 1"/>
    <w:basedOn w:val="Normal"/>
    <w:next w:val="Normal"/>
    <w:link w:val="Heading1Char"/>
    <w:uiPriority w:val="9"/>
    <w:qFormat/>
    <w:rsid w:val="009F2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2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8C69C2"/>
    <w:pPr>
      <w:keepNext/>
      <w:keepLines/>
      <w:spacing w:before="40"/>
      <w:outlineLvl w:val="2"/>
    </w:pPr>
    <w:rPr>
      <w:rFonts w:asciiTheme="majorHAnsi" w:eastAsiaTheme="majorEastAsia" w:hAnsiTheme="majorHAnsi" w:cstheme="majorBidi"/>
      <w:i/>
      <w:color w:val="0A2F40" w:themeColor="accent1" w:themeShade="7F"/>
      <w:sz w:val="22"/>
      <w:lang w:eastAsia="ko-KR"/>
    </w:rPr>
  </w:style>
  <w:style w:type="paragraph" w:styleId="Heading4">
    <w:name w:val="heading 4"/>
    <w:basedOn w:val="Normal"/>
    <w:next w:val="Normal"/>
    <w:link w:val="Heading4Char"/>
    <w:uiPriority w:val="9"/>
    <w:unhideWhenUsed/>
    <w:qFormat/>
    <w:rsid w:val="009F2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B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B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B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B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69C2"/>
    <w:rPr>
      <w:rFonts w:asciiTheme="majorHAnsi" w:eastAsiaTheme="majorEastAsia" w:hAnsiTheme="majorHAnsi" w:cstheme="majorBidi"/>
      <w:i/>
      <w:color w:val="0A2F40" w:themeColor="accent1" w:themeShade="7F"/>
      <w:sz w:val="22"/>
      <w:lang w:eastAsia="ko-KR"/>
    </w:rPr>
  </w:style>
  <w:style w:type="character" w:customStyle="1" w:styleId="Heading1Char">
    <w:name w:val="Heading 1 Char"/>
    <w:basedOn w:val="DefaultParagraphFont"/>
    <w:link w:val="Heading1"/>
    <w:uiPriority w:val="9"/>
    <w:rsid w:val="009F2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2B10"/>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9F2B10"/>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9F2B10"/>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9F2B10"/>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9F2B10"/>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9F2B10"/>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9F2B10"/>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9F2B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B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B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2B10"/>
    <w:rPr>
      <w:i/>
      <w:iCs/>
      <w:color w:val="404040" w:themeColor="text1" w:themeTint="BF"/>
      <w:sz w:val="20"/>
    </w:rPr>
  </w:style>
  <w:style w:type="paragraph" w:styleId="ListParagraph">
    <w:name w:val="List Paragraph"/>
    <w:basedOn w:val="Normal"/>
    <w:uiPriority w:val="34"/>
    <w:qFormat/>
    <w:rsid w:val="009F2B10"/>
    <w:pPr>
      <w:ind w:left="720"/>
      <w:contextualSpacing/>
    </w:pPr>
  </w:style>
  <w:style w:type="character" w:styleId="IntenseEmphasis">
    <w:name w:val="Intense Emphasis"/>
    <w:basedOn w:val="DefaultParagraphFont"/>
    <w:uiPriority w:val="21"/>
    <w:qFormat/>
    <w:rsid w:val="009F2B10"/>
    <w:rPr>
      <w:i/>
      <w:iCs/>
      <w:color w:val="0F4761" w:themeColor="accent1" w:themeShade="BF"/>
    </w:rPr>
  </w:style>
  <w:style w:type="paragraph" w:styleId="IntenseQuote">
    <w:name w:val="Intense Quote"/>
    <w:basedOn w:val="Normal"/>
    <w:next w:val="Normal"/>
    <w:link w:val="IntenseQuoteChar"/>
    <w:uiPriority w:val="30"/>
    <w:qFormat/>
    <w:rsid w:val="009F2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B10"/>
    <w:rPr>
      <w:i/>
      <w:iCs/>
      <w:color w:val="0F4761" w:themeColor="accent1" w:themeShade="BF"/>
      <w:sz w:val="20"/>
    </w:rPr>
  </w:style>
  <w:style w:type="character" w:styleId="IntenseReference">
    <w:name w:val="Intense Reference"/>
    <w:basedOn w:val="DefaultParagraphFont"/>
    <w:uiPriority w:val="32"/>
    <w:qFormat/>
    <w:rsid w:val="009F2B10"/>
    <w:rPr>
      <w:b/>
      <w:bCs/>
      <w:smallCaps/>
      <w:color w:val="0F4761" w:themeColor="accent1" w:themeShade="BF"/>
      <w:spacing w:val="5"/>
    </w:rPr>
  </w:style>
  <w:style w:type="character" w:styleId="Hyperlink">
    <w:name w:val="Hyperlink"/>
    <w:basedOn w:val="DefaultParagraphFont"/>
    <w:uiPriority w:val="99"/>
    <w:unhideWhenUsed/>
    <w:rsid w:val="001A1C18"/>
    <w:rPr>
      <w:color w:val="467886" w:themeColor="hyperlink"/>
      <w:u w:val="single"/>
    </w:rPr>
  </w:style>
  <w:style w:type="character" w:customStyle="1" w:styleId="UnresolvedMention">
    <w:name w:val="Unresolved Mention"/>
    <w:basedOn w:val="DefaultParagraphFont"/>
    <w:uiPriority w:val="99"/>
    <w:semiHidden/>
    <w:unhideWhenUsed/>
    <w:rsid w:val="001A1C18"/>
    <w:rPr>
      <w:color w:val="605E5C"/>
      <w:shd w:val="clear" w:color="auto" w:fill="E1DFDD"/>
    </w:rPr>
  </w:style>
  <w:style w:type="paragraph" w:styleId="FootnoteText">
    <w:name w:val="footnote text"/>
    <w:basedOn w:val="Normal"/>
    <w:link w:val="FootnoteTextChar"/>
    <w:uiPriority w:val="99"/>
    <w:semiHidden/>
    <w:unhideWhenUsed/>
    <w:rsid w:val="00780139"/>
    <w:rPr>
      <w:szCs w:val="20"/>
    </w:rPr>
  </w:style>
  <w:style w:type="character" w:customStyle="1" w:styleId="FootnoteTextChar">
    <w:name w:val="Footnote Text Char"/>
    <w:basedOn w:val="DefaultParagraphFont"/>
    <w:link w:val="FootnoteText"/>
    <w:uiPriority w:val="99"/>
    <w:semiHidden/>
    <w:rsid w:val="00780139"/>
    <w:rPr>
      <w:sz w:val="20"/>
      <w:szCs w:val="20"/>
    </w:rPr>
  </w:style>
  <w:style w:type="character" w:styleId="FootnoteReference">
    <w:name w:val="footnote reference"/>
    <w:basedOn w:val="DefaultParagraphFont"/>
    <w:uiPriority w:val="99"/>
    <w:semiHidden/>
    <w:unhideWhenUsed/>
    <w:rsid w:val="00780139"/>
    <w:rPr>
      <w:vertAlign w:val="superscript"/>
    </w:rPr>
  </w:style>
  <w:style w:type="paragraph" w:styleId="Header">
    <w:name w:val="header"/>
    <w:basedOn w:val="Normal"/>
    <w:link w:val="HeaderChar"/>
    <w:uiPriority w:val="99"/>
    <w:unhideWhenUsed/>
    <w:rsid w:val="00A17C1C"/>
    <w:pPr>
      <w:tabs>
        <w:tab w:val="center" w:pos="4680"/>
        <w:tab w:val="right" w:pos="9360"/>
      </w:tabs>
    </w:pPr>
  </w:style>
  <w:style w:type="character" w:customStyle="1" w:styleId="HeaderChar">
    <w:name w:val="Header Char"/>
    <w:basedOn w:val="DefaultParagraphFont"/>
    <w:link w:val="Header"/>
    <w:uiPriority w:val="99"/>
    <w:rsid w:val="00A17C1C"/>
    <w:rPr>
      <w:sz w:val="20"/>
    </w:rPr>
  </w:style>
  <w:style w:type="paragraph" w:styleId="Footer">
    <w:name w:val="footer"/>
    <w:basedOn w:val="Normal"/>
    <w:link w:val="FooterChar"/>
    <w:uiPriority w:val="99"/>
    <w:unhideWhenUsed/>
    <w:rsid w:val="00A17C1C"/>
    <w:pPr>
      <w:tabs>
        <w:tab w:val="center" w:pos="4680"/>
        <w:tab w:val="right" w:pos="9360"/>
      </w:tabs>
    </w:pPr>
  </w:style>
  <w:style w:type="character" w:customStyle="1" w:styleId="FooterChar">
    <w:name w:val="Footer Char"/>
    <w:basedOn w:val="DefaultParagraphFont"/>
    <w:link w:val="Footer"/>
    <w:uiPriority w:val="99"/>
    <w:rsid w:val="00A17C1C"/>
    <w:rPr>
      <w:sz w:val="20"/>
    </w:rPr>
  </w:style>
  <w:style w:type="paragraph" w:styleId="NoSpacing">
    <w:name w:val="No Spacing"/>
    <w:uiPriority w:val="1"/>
    <w:qFormat/>
    <w:rsid w:val="005C570B"/>
    <w:pPr>
      <w:widowControl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rl.avanan.click/v2/___http://csro.info/UserFiles/file/CSRO_LettertoHHSonSADList_FINALSUBMITTED.pdf___.YXAzOmFydGhyaXRpc2NlbnRlcnM6YTpvOmY1OTExZWI5MmFkMjVhZGUzZWRlNDJiNjVkNjU2MDVlOjY6YThkNDpjNGYxMjg2YjcwZWYxYTJjMzFhMDI5MzhlMTI1OTg0MGY3ZWJlMWExMmMzMDY0MzE4OTMxY2JmMzY1Nzc0ZDE2OnA6VDpO" TargetMode="External" /><Relationship Id="rId6" Type="http://schemas.openxmlformats.org/officeDocument/2006/relationships/hyperlink" Target="mailto:andrea@normgroup.org"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27758-6EF3-234B-9CB5-C37F9AC3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Graham</dc:creator>
  <cp:lastModifiedBy>Emily Graham</cp:lastModifiedBy>
  <cp:revision>3</cp:revision>
  <dcterms:created xsi:type="dcterms:W3CDTF">2025-05-01T14:19:00Z</dcterms:created>
  <dcterms:modified xsi:type="dcterms:W3CDTF">2025-05-01T14:41:00Z</dcterms:modified>
</cp:coreProperties>
</file>